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88F7" w14:textId="77777777" w:rsidR="00F27CF8" w:rsidRDefault="00F27CF8">
      <w:pPr>
        <w:spacing w:before="120" w:after="1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5"/>
      </w:tblGrid>
      <w:tr w:rsidR="00F27CF8" w:rsidRPr="007A4020" w14:paraId="445D1326" w14:textId="77777777" w:rsidTr="007A4020">
        <w:tblPrEx>
          <w:tblCellMar>
            <w:top w:w="0" w:type="dxa"/>
            <w:bottom w:w="0" w:type="dxa"/>
          </w:tblCellMar>
        </w:tblPrEx>
        <w:tc>
          <w:tcPr>
            <w:tcW w:w="9895" w:type="dxa"/>
            <w:tcBorders>
              <w:top w:val="single" w:sz="4" w:space="0" w:color="2C4770"/>
              <w:left w:val="single" w:sz="4" w:space="0" w:color="2C4770"/>
              <w:bottom w:val="single" w:sz="4" w:space="0" w:color="2C4770"/>
              <w:right w:val="single" w:sz="4" w:space="0" w:color="2C4770"/>
            </w:tcBorders>
            <w:tcMar>
              <w:top w:w="160" w:type="dxa"/>
              <w:left w:w="200" w:type="dxa"/>
              <w:bottom w:w="160" w:type="dxa"/>
              <w:right w:w="200" w:type="dxa"/>
            </w:tcMar>
          </w:tcPr>
          <w:p w14:paraId="014459A8" w14:textId="77777777" w:rsidR="00F27CF8" w:rsidRPr="007A4020" w:rsidRDefault="00000000">
            <w:pPr>
              <w:spacing w:before="60" w:after="60"/>
              <w:jc w:val="center"/>
            </w:pPr>
            <w:r w:rsidRPr="007A4020">
              <w:rPr>
                <w:rFonts w:ascii="Arial" w:eastAsia="Arial" w:hAnsi="Arial" w:cs="Arial"/>
                <w:b/>
                <w:bCs/>
                <w:sz w:val="36"/>
                <w:szCs w:val="36"/>
              </w:rPr>
              <w:t>ADDENDUM No. 1</w:t>
            </w:r>
          </w:p>
          <w:p w14:paraId="36302121" w14:textId="77777777" w:rsidR="00F27CF8" w:rsidRPr="007A4020" w:rsidRDefault="00000000">
            <w:pPr>
              <w:spacing w:before="40" w:after="40"/>
              <w:jc w:val="center"/>
            </w:pPr>
            <w:r w:rsidRPr="007A4020">
              <w:rPr>
                <w:rFonts w:ascii="Arial" w:eastAsia="Arial" w:hAnsi="Arial" w:cs="Arial"/>
                <w:b/>
                <w:bCs/>
                <w:sz w:val="28"/>
                <w:szCs w:val="28"/>
              </w:rPr>
              <w:t>TO THE BIDDING DOCUMENTS</w:t>
            </w:r>
          </w:p>
          <w:p w14:paraId="6F73B113" w14:textId="77777777" w:rsidR="00F27CF8" w:rsidRPr="007A4020" w:rsidRDefault="00000000">
            <w:pPr>
              <w:spacing w:before="40" w:after="40"/>
              <w:jc w:val="center"/>
            </w:pPr>
            <w:r w:rsidRPr="007A4020">
              <w:rPr>
                <w:rFonts w:ascii="Arial" w:eastAsia="Arial" w:hAnsi="Arial" w:cs="Arial"/>
                <w:i/>
                <w:iCs/>
                <w:sz w:val="22"/>
                <w:szCs w:val="22"/>
              </w:rPr>
              <w:t>Procurement of IT Equipment for Accountant General (AG) Office</w:t>
            </w:r>
          </w:p>
        </w:tc>
      </w:tr>
    </w:tbl>
    <w:p w14:paraId="41B46C5A" w14:textId="77777777" w:rsidR="00F27CF8" w:rsidRPr="007A4020" w:rsidRDefault="00F27CF8">
      <w:pPr>
        <w:spacing w:before="120" w:after="1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495"/>
      </w:tblGrid>
      <w:tr w:rsidR="00F27CF8" w:rsidRPr="007A4020" w14:paraId="3D390FCA" w14:textId="77777777" w:rsidTr="007A4020">
        <w:tblPrEx>
          <w:tblCellMar>
            <w:top w:w="0" w:type="dxa"/>
            <w:bottom w:w="0" w:type="dxa"/>
          </w:tblCellMar>
        </w:tblPrEx>
        <w:tc>
          <w:tcPr>
            <w:tcW w:w="24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41AD807A" w14:textId="77777777" w:rsidR="00F27CF8" w:rsidRPr="007A4020" w:rsidRDefault="00000000">
            <w:r w:rsidRPr="007A4020">
              <w:rPr>
                <w:rFonts w:ascii="Arial" w:eastAsia="Arial" w:hAnsi="Arial" w:cs="Arial"/>
                <w:b/>
                <w:bCs/>
              </w:rPr>
              <w:t>Reference No.:</w:t>
            </w:r>
          </w:p>
        </w:tc>
        <w:tc>
          <w:tcPr>
            <w:tcW w:w="749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826A29C" w14:textId="77777777" w:rsidR="00F27CF8" w:rsidRPr="007A4020" w:rsidRDefault="00000000">
            <w:r w:rsidRPr="007A4020">
              <w:rPr>
                <w:rFonts w:ascii="Arial" w:eastAsia="Arial" w:hAnsi="Arial" w:cs="Arial"/>
              </w:rPr>
              <w:t>PK-FD-KP-548123-GO-RFB</w:t>
            </w:r>
          </w:p>
        </w:tc>
      </w:tr>
      <w:tr w:rsidR="00F27CF8" w:rsidRPr="007A4020" w14:paraId="5C823D62" w14:textId="77777777" w:rsidTr="007A4020">
        <w:tblPrEx>
          <w:tblCellMar>
            <w:top w:w="0" w:type="dxa"/>
            <w:bottom w:w="0" w:type="dxa"/>
          </w:tblCellMar>
        </w:tblPrEx>
        <w:tc>
          <w:tcPr>
            <w:tcW w:w="24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11F9F69" w14:textId="77777777" w:rsidR="00F27CF8" w:rsidRPr="007A4020" w:rsidRDefault="00000000">
            <w:r w:rsidRPr="007A4020">
              <w:rPr>
                <w:rFonts w:ascii="Arial" w:eastAsia="Arial" w:hAnsi="Arial" w:cs="Arial"/>
                <w:b/>
                <w:bCs/>
              </w:rPr>
              <w:t>Credit No.:</w:t>
            </w:r>
          </w:p>
        </w:tc>
        <w:tc>
          <w:tcPr>
            <w:tcW w:w="749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45334F9E" w14:textId="77777777" w:rsidR="00F27CF8" w:rsidRPr="007A4020" w:rsidRDefault="00000000">
            <w:r w:rsidRPr="007A4020">
              <w:rPr>
                <w:rFonts w:ascii="Arial" w:eastAsia="Arial" w:hAnsi="Arial" w:cs="Arial"/>
              </w:rPr>
              <w:t>6872-PK</w:t>
            </w:r>
          </w:p>
        </w:tc>
      </w:tr>
      <w:tr w:rsidR="00F27CF8" w:rsidRPr="007A4020" w14:paraId="49042F4F" w14:textId="77777777" w:rsidTr="007A4020">
        <w:tblPrEx>
          <w:tblCellMar>
            <w:top w:w="0" w:type="dxa"/>
            <w:bottom w:w="0" w:type="dxa"/>
          </w:tblCellMar>
        </w:tblPrEx>
        <w:tc>
          <w:tcPr>
            <w:tcW w:w="24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0B79C267" w14:textId="77777777" w:rsidR="00F27CF8" w:rsidRPr="007A4020" w:rsidRDefault="00000000">
            <w:r w:rsidRPr="007A4020">
              <w:rPr>
                <w:rFonts w:ascii="Arial" w:eastAsia="Arial" w:hAnsi="Arial" w:cs="Arial"/>
                <w:b/>
                <w:bCs/>
              </w:rPr>
              <w:t>Addendum Date:</w:t>
            </w:r>
          </w:p>
        </w:tc>
        <w:tc>
          <w:tcPr>
            <w:tcW w:w="749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923AF2D" w14:textId="77777777" w:rsidR="00F27CF8" w:rsidRPr="007A4020" w:rsidRDefault="00000000">
            <w:r w:rsidRPr="007A4020">
              <w:rPr>
                <w:rFonts w:ascii="Arial" w:eastAsia="Arial" w:hAnsi="Arial" w:cs="Arial"/>
              </w:rPr>
              <w:t>April 30, 2026</w:t>
            </w:r>
          </w:p>
        </w:tc>
      </w:tr>
      <w:tr w:rsidR="00F27CF8" w:rsidRPr="007A4020" w14:paraId="12F4CEB1" w14:textId="77777777" w:rsidTr="007A4020">
        <w:tblPrEx>
          <w:tblCellMar>
            <w:top w:w="0" w:type="dxa"/>
            <w:bottom w:w="0" w:type="dxa"/>
          </w:tblCellMar>
        </w:tblPrEx>
        <w:tc>
          <w:tcPr>
            <w:tcW w:w="24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4097BAFF" w14:textId="77777777" w:rsidR="00F27CF8" w:rsidRPr="007A4020" w:rsidRDefault="00000000">
            <w:r w:rsidRPr="007A4020">
              <w:rPr>
                <w:rFonts w:ascii="Arial" w:eastAsia="Arial" w:hAnsi="Arial" w:cs="Arial"/>
                <w:b/>
                <w:bCs/>
              </w:rPr>
              <w:t>Issued by:</w:t>
            </w:r>
          </w:p>
        </w:tc>
        <w:tc>
          <w:tcPr>
            <w:tcW w:w="749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17EDA58D" w14:textId="77777777" w:rsidR="00F27CF8" w:rsidRPr="007A4020" w:rsidRDefault="00000000">
            <w:r w:rsidRPr="007A4020">
              <w:rPr>
                <w:rFonts w:ascii="Arial" w:eastAsia="Arial" w:hAnsi="Arial" w:cs="Arial"/>
              </w:rPr>
              <w:t>Director, Shared Services Unit (SSU), KP-SPEED</w:t>
            </w:r>
          </w:p>
        </w:tc>
      </w:tr>
      <w:tr w:rsidR="00F27CF8" w:rsidRPr="007A4020" w14:paraId="51B7886D" w14:textId="77777777" w:rsidTr="007A4020">
        <w:tblPrEx>
          <w:tblCellMar>
            <w:top w:w="0" w:type="dxa"/>
            <w:bottom w:w="0" w:type="dxa"/>
          </w:tblCellMar>
        </w:tblPrEx>
        <w:tc>
          <w:tcPr>
            <w:tcW w:w="24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4AA262E" w14:textId="77777777" w:rsidR="00F27CF8" w:rsidRPr="007A4020" w:rsidRDefault="00000000">
            <w:r w:rsidRPr="007A4020">
              <w:rPr>
                <w:rFonts w:ascii="Arial" w:eastAsia="Arial" w:hAnsi="Arial" w:cs="Arial"/>
                <w:b/>
                <w:bCs/>
              </w:rPr>
              <w:t>Pre-Bid Meeting Date:</w:t>
            </w:r>
          </w:p>
        </w:tc>
        <w:tc>
          <w:tcPr>
            <w:tcW w:w="749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1E87904C" w14:textId="77777777" w:rsidR="00F27CF8" w:rsidRPr="007A4020" w:rsidRDefault="00000000">
            <w:r w:rsidRPr="007A4020">
              <w:rPr>
                <w:rFonts w:ascii="Arial" w:eastAsia="Arial" w:hAnsi="Arial" w:cs="Arial"/>
              </w:rPr>
              <w:t>April 29, 2026 at 11:00 AM (PST)</w:t>
            </w:r>
          </w:p>
        </w:tc>
      </w:tr>
    </w:tbl>
    <w:p w14:paraId="6DBFCC7D" w14:textId="77777777" w:rsidR="00F27CF8" w:rsidRPr="007A4020" w:rsidRDefault="00000000">
      <w:pPr>
        <w:pBdr>
          <w:bottom w:val="single" w:sz="6" w:space="1" w:color="2C4770"/>
        </w:pBdr>
        <w:spacing w:before="100" w:after="60"/>
      </w:pPr>
      <w:r w:rsidRPr="007A4020">
        <w:rPr>
          <w:rFonts w:ascii="Arial" w:eastAsia="Arial" w:hAnsi="Arial" w:cs="Arial"/>
          <w:b/>
          <w:bCs/>
          <w:sz w:val="22"/>
          <w:szCs w:val="22"/>
        </w:rPr>
        <w:t>1.  BACKGROUND</w:t>
      </w:r>
    </w:p>
    <w:p w14:paraId="24DFB0F0" w14:textId="77777777" w:rsidR="00F27CF8" w:rsidRPr="007A4020" w:rsidRDefault="00000000">
      <w:pPr>
        <w:spacing w:before="80" w:after="80"/>
        <w:jc w:val="both"/>
      </w:pPr>
      <w:r w:rsidRPr="007A4020">
        <w:rPr>
          <w:rFonts w:ascii="Arial" w:eastAsia="Arial" w:hAnsi="Arial" w:cs="Arial"/>
        </w:rPr>
        <w:t>The Finance Department, Government of Khyber Pakhtunkhwa, through the KP-SPEED Project (Credit No. 6872-PK), issued the Request for Bids (RFB) on April 25, 2026 for the Procurement of IT Equipment for the Accountant General (AG) Office under Reference No. PK-FD-KP-548123-GO-RFB.</w:t>
      </w:r>
    </w:p>
    <w:p w14:paraId="3493B9AF" w14:textId="77777777" w:rsidR="00F27CF8" w:rsidRPr="007A4020" w:rsidRDefault="00F27CF8">
      <w:pPr>
        <w:spacing w:before="40" w:after="40"/>
      </w:pPr>
    </w:p>
    <w:p w14:paraId="224747E4" w14:textId="77777777" w:rsidR="00F27CF8" w:rsidRPr="007A4020" w:rsidRDefault="00000000">
      <w:pPr>
        <w:spacing w:before="80" w:after="80"/>
        <w:jc w:val="both"/>
      </w:pPr>
      <w:r w:rsidRPr="007A4020">
        <w:rPr>
          <w:rFonts w:ascii="Arial" w:eastAsia="Arial" w:hAnsi="Arial" w:cs="Arial"/>
        </w:rPr>
        <w:t xml:space="preserve">A Pre-Bid Meeting was held on April 29, 2026 at 11:00 AM (PST) at the office of the Director, Shared Services Unit (SSU), KP-SPEED, House No. 1, Street No. 7-A, </w:t>
      </w:r>
      <w:proofErr w:type="spellStart"/>
      <w:r w:rsidRPr="007A4020">
        <w:rPr>
          <w:rFonts w:ascii="Arial" w:eastAsia="Arial" w:hAnsi="Arial" w:cs="Arial"/>
        </w:rPr>
        <w:t>Defence</w:t>
      </w:r>
      <w:proofErr w:type="spellEnd"/>
      <w:r w:rsidRPr="007A4020">
        <w:rPr>
          <w:rFonts w:ascii="Arial" w:eastAsia="Arial" w:hAnsi="Arial" w:cs="Arial"/>
        </w:rPr>
        <w:t xml:space="preserve"> Colony, </w:t>
      </w:r>
      <w:proofErr w:type="spellStart"/>
      <w:r w:rsidRPr="007A4020">
        <w:rPr>
          <w:rFonts w:ascii="Arial" w:eastAsia="Arial" w:hAnsi="Arial" w:cs="Arial"/>
        </w:rPr>
        <w:t>Qafla</w:t>
      </w:r>
      <w:proofErr w:type="spellEnd"/>
      <w:r w:rsidRPr="007A4020">
        <w:rPr>
          <w:rFonts w:ascii="Arial" w:eastAsia="Arial" w:hAnsi="Arial" w:cs="Arial"/>
        </w:rPr>
        <w:t xml:space="preserve"> Road, Opposite Pakistan Baitul Mal, Peshawar. Prospective Bidders raised queries and sought clarifications regarding the technical specifications and bidding conditions. Pursuant to that meeting, this Addendum is issued to form part of the Bidding Documents.</w:t>
      </w:r>
    </w:p>
    <w:p w14:paraId="756BC4DD" w14:textId="77777777" w:rsidR="00F27CF8" w:rsidRPr="007A4020" w:rsidRDefault="00000000">
      <w:pPr>
        <w:pBdr>
          <w:bottom w:val="single" w:sz="6" w:space="1" w:color="2C4770"/>
        </w:pBdr>
        <w:spacing w:before="100" w:after="60"/>
      </w:pPr>
      <w:r w:rsidRPr="007A4020">
        <w:rPr>
          <w:rFonts w:ascii="Arial" w:eastAsia="Arial" w:hAnsi="Arial" w:cs="Arial"/>
          <w:b/>
          <w:bCs/>
          <w:sz w:val="22"/>
          <w:szCs w:val="22"/>
        </w:rPr>
        <w:t>2.  CLARIFICATIONS AND AMENDMENTS ARISING FROM THE PRE-BID MEETING</w:t>
      </w:r>
    </w:p>
    <w:p w14:paraId="4E832FBA" w14:textId="77777777" w:rsidR="00F27CF8" w:rsidRPr="007A4020" w:rsidRDefault="00000000">
      <w:pPr>
        <w:spacing w:before="80" w:after="80"/>
        <w:jc w:val="both"/>
      </w:pPr>
      <w:r w:rsidRPr="007A4020">
        <w:rPr>
          <w:rFonts w:ascii="Arial" w:eastAsia="Arial" w:hAnsi="Arial" w:cs="Arial"/>
        </w:rPr>
        <w:t>The following clarifications and amendments are issued in response to the queries and observations raised during the Pre-Bid Meeting. These amendments supersede or supplement the relevant provisions of the original Bidding Documents:</w:t>
      </w:r>
    </w:p>
    <w:p w14:paraId="19CAE2AA" w14:textId="77777777" w:rsidR="00F27CF8" w:rsidRPr="007A4020" w:rsidRDefault="00F27CF8">
      <w:pPr>
        <w:spacing w:before="80" w:after="80"/>
      </w:pPr>
    </w:p>
    <w:p w14:paraId="528D8DC8" w14:textId="77777777" w:rsidR="00F27CF8" w:rsidRPr="007A4020" w:rsidRDefault="00000000">
      <w:pPr>
        <w:pBdr>
          <w:bottom w:val="single" w:sz="6" w:space="1" w:color="2C4770"/>
        </w:pBdr>
        <w:spacing w:before="100" w:after="60"/>
      </w:pPr>
      <w:r w:rsidRPr="007A4020">
        <w:rPr>
          <w:rFonts w:ascii="Arial" w:eastAsia="Arial" w:hAnsi="Arial" w:cs="Arial"/>
          <w:b/>
          <w:bCs/>
          <w:sz w:val="22"/>
          <w:szCs w:val="22"/>
        </w:rPr>
        <w:t>3.  UPDATED SCHEDULE OF REQUIREMENTS</w:t>
      </w:r>
    </w:p>
    <w:p w14:paraId="58DAA709" w14:textId="77777777" w:rsidR="00F27CF8" w:rsidRPr="007A4020" w:rsidRDefault="00000000">
      <w:pPr>
        <w:spacing w:before="80" w:after="80"/>
        <w:jc w:val="both"/>
      </w:pPr>
      <w:r w:rsidRPr="007A4020">
        <w:rPr>
          <w:rFonts w:ascii="Arial" w:eastAsia="Arial" w:hAnsi="Arial" w:cs="Arial"/>
        </w:rPr>
        <w:t>In view of the above amendments, the revised technical specifications are as follows. This table supersedes the original Schedule of Requirements: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1"/>
        <w:gridCol w:w="1200"/>
        <w:gridCol w:w="6624"/>
        <w:gridCol w:w="1440"/>
      </w:tblGrid>
      <w:tr w:rsidR="00F27CF8" w:rsidRPr="007A4020" w14:paraId="002A025D" w14:textId="77777777" w:rsidTr="007A4020">
        <w:tblPrEx>
          <w:tblCellMar>
            <w:top w:w="0" w:type="dxa"/>
            <w:bottom w:w="0" w:type="dxa"/>
          </w:tblCellMar>
        </w:tblPrEx>
        <w:tc>
          <w:tcPr>
            <w:tcW w:w="541"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3A436C7" w14:textId="77777777" w:rsidR="00F27CF8" w:rsidRPr="007A4020" w:rsidRDefault="00000000">
            <w:pPr>
              <w:jc w:val="center"/>
            </w:pPr>
            <w:r w:rsidRPr="007A4020">
              <w:rPr>
                <w:rFonts w:ascii="Arial" w:eastAsia="Arial" w:hAnsi="Arial" w:cs="Arial"/>
                <w:b/>
                <w:bCs/>
              </w:rPr>
              <w:t>S.#</w:t>
            </w:r>
          </w:p>
        </w:tc>
        <w:tc>
          <w:tcPr>
            <w:tcW w:w="12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DD63FCA" w14:textId="77777777" w:rsidR="00F27CF8" w:rsidRPr="007A4020" w:rsidRDefault="00000000">
            <w:pPr>
              <w:jc w:val="center"/>
            </w:pPr>
            <w:r w:rsidRPr="007A4020">
              <w:rPr>
                <w:rFonts w:ascii="Arial" w:eastAsia="Arial" w:hAnsi="Arial" w:cs="Arial"/>
                <w:b/>
                <w:bCs/>
              </w:rPr>
              <w:t>Item</w:t>
            </w:r>
          </w:p>
        </w:tc>
        <w:tc>
          <w:tcPr>
            <w:tcW w:w="6624"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7F5A1DDE" w14:textId="77777777" w:rsidR="00F27CF8" w:rsidRPr="007A4020" w:rsidRDefault="00000000">
            <w:pPr>
              <w:jc w:val="center"/>
            </w:pPr>
            <w:r w:rsidRPr="007A4020">
              <w:rPr>
                <w:rFonts w:ascii="Arial" w:eastAsia="Arial" w:hAnsi="Arial" w:cs="Arial"/>
                <w:b/>
                <w:bCs/>
              </w:rPr>
              <w:t>Revised Specifications</w:t>
            </w:r>
          </w:p>
        </w:tc>
        <w:tc>
          <w:tcPr>
            <w:tcW w:w="144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F38C6A8" w14:textId="77777777" w:rsidR="00F27CF8" w:rsidRPr="007A4020" w:rsidRDefault="00000000">
            <w:pPr>
              <w:jc w:val="center"/>
            </w:pPr>
            <w:r w:rsidRPr="007A4020">
              <w:rPr>
                <w:rFonts w:ascii="Arial" w:eastAsia="Arial" w:hAnsi="Arial" w:cs="Arial"/>
                <w:b/>
                <w:bCs/>
              </w:rPr>
              <w:t>Quantity</w:t>
            </w:r>
          </w:p>
        </w:tc>
      </w:tr>
      <w:tr w:rsidR="00F27CF8" w:rsidRPr="007A4020" w14:paraId="56D091FB" w14:textId="77777777" w:rsidTr="007A4020">
        <w:tblPrEx>
          <w:tblCellMar>
            <w:top w:w="0" w:type="dxa"/>
            <w:bottom w:w="0" w:type="dxa"/>
          </w:tblCellMar>
        </w:tblPrEx>
        <w:tc>
          <w:tcPr>
            <w:tcW w:w="541"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66A94967" w14:textId="77777777" w:rsidR="00F27CF8" w:rsidRPr="007A4020" w:rsidRDefault="00000000">
            <w:pPr>
              <w:jc w:val="center"/>
            </w:pPr>
            <w:r w:rsidRPr="007A4020">
              <w:rPr>
                <w:rFonts w:ascii="Arial" w:eastAsia="Arial" w:hAnsi="Arial" w:cs="Arial"/>
              </w:rPr>
              <w:t>01</w:t>
            </w:r>
          </w:p>
        </w:tc>
        <w:tc>
          <w:tcPr>
            <w:tcW w:w="12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0771E74A" w14:textId="77777777" w:rsidR="00F27CF8" w:rsidRPr="007A4020" w:rsidRDefault="00000000">
            <w:r w:rsidRPr="007A4020">
              <w:rPr>
                <w:rFonts w:ascii="Arial" w:eastAsia="Arial" w:hAnsi="Arial" w:cs="Arial"/>
                <w:b/>
                <w:bCs/>
              </w:rPr>
              <w:t>Laptop Computer</w:t>
            </w:r>
          </w:p>
        </w:tc>
        <w:tc>
          <w:tcPr>
            <w:tcW w:w="6624"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116650CA" w14:textId="77777777" w:rsidR="00C83438" w:rsidRPr="007A4020" w:rsidRDefault="00C83438" w:rsidP="00C83438">
            <w:r w:rsidRPr="007A4020">
              <w:t>Intel Core i5 (14th Gen) or higher</w:t>
            </w:r>
            <w:r w:rsidRPr="007A4020">
              <w:br/>
              <w:t xml:space="preserve">RAM: 8 GB </w:t>
            </w:r>
            <w:r w:rsidRPr="007A4020">
              <w:br/>
              <w:t xml:space="preserve">Storage: 512 GB SSD </w:t>
            </w:r>
            <w:r w:rsidRPr="007A4020">
              <w:br/>
              <w:t>Display: 14” Full HD or higher</w:t>
            </w:r>
            <w:r w:rsidRPr="007A4020">
              <w:br/>
              <w:t xml:space="preserve">Wi-Fi, Bluetooth, Webcam </w:t>
            </w:r>
            <w:r w:rsidRPr="007A4020">
              <w:br/>
              <w:t>Windows 11 Pro (Genuine license)</w:t>
            </w:r>
          </w:p>
          <w:p w14:paraId="0B42C76C" w14:textId="1D3615D3" w:rsidR="00C83438" w:rsidRPr="007A4020" w:rsidRDefault="00C83438" w:rsidP="00C83438">
            <w:pPr>
              <w:rPr>
                <w:rFonts w:ascii="Arial" w:eastAsia="Arial" w:hAnsi="Arial" w:cs="Arial"/>
                <w:b/>
                <w:bCs/>
              </w:rPr>
            </w:pPr>
            <w:r w:rsidRPr="007A4020">
              <w:t>With Bag</w:t>
            </w:r>
          </w:p>
          <w:p w14:paraId="6DD8FDEB" w14:textId="4E2BF320" w:rsidR="00F27CF8" w:rsidRPr="007A4020" w:rsidRDefault="00000000">
            <w:r w:rsidRPr="007A4020">
              <w:rPr>
                <w:rFonts w:ascii="Arial" w:eastAsia="Arial" w:hAnsi="Arial" w:cs="Arial"/>
                <w:b/>
                <w:bCs/>
              </w:rPr>
              <w:t xml:space="preserve">Warranty: 1-year on-site comprehensive warranty </w:t>
            </w:r>
          </w:p>
        </w:tc>
        <w:tc>
          <w:tcPr>
            <w:tcW w:w="144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8921230" w14:textId="77777777" w:rsidR="00F27CF8" w:rsidRPr="007A4020" w:rsidRDefault="00000000">
            <w:pPr>
              <w:jc w:val="center"/>
            </w:pPr>
            <w:r w:rsidRPr="007A4020">
              <w:rPr>
                <w:rFonts w:ascii="Arial" w:eastAsia="Arial" w:hAnsi="Arial" w:cs="Arial"/>
              </w:rPr>
              <w:t>02</w:t>
            </w:r>
          </w:p>
        </w:tc>
      </w:tr>
      <w:tr w:rsidR="00F27CF8" w:rsidRPr="007A4020" w14:paraId="077471EB" w14:textId="77777777" w:rsidTr="007A4020">
        <w:tblPrEx>
          <w:tblCellMar>
            <w:top w:w="0" w:type="dxa"/>
            <w:bottom w:w="0" w:type="dxa"/>
          </w:tblCellMar>
        </w:tblPrEx>
        <w:tc>
          <w:tcPr>
            <w:tcW w:w="541"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1A7D1C28" w14:textId="77777777" w:rsidR="00F27CF8" w:rsidRPr="007A4020" w:rsidRDefault="00000000">
            <w:pPr>
              <w:jc w:val="center"/>
            </w:pPr>
            <w:r w:rsidRPr="007A4020">
              <w:rPr>
                <w:rFonts w:ascii="Arial" w:eastAsia="Arial" w:hAnsi="Arial" w:cs="Arial"/>
              </w:rPr>
              <w:t>02</w:t>
            </w:r>
          </w:p>
        </w:tc>
        <w:tc>
          <w:tcPr>
            <w:tcW w:w="120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4CADF96E" w14:textId="77777777" w:rsidR="00F27CF8" w:rsidRPr="007A4020" w:rsidRDefault="00000000">
            <w:r w:rsidRPr="007A4020">
              <w:rPr>
                <w:rFonts w:ascii="Arial" w:eastAsia="Arial" w:hAnsi="Arial" w:cs="Arial"/>
                <w:b/>
                <w:bCs/>
              </w:rPr>
              <w:t>Desktop Computer</w:t>
            </w:r>
          </w:p>
        </w:tc>
        <w:tc>
          <w:tcPr>
            <w:tcW w:w="6624"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6E053C78" w14:textId="77777777" w:rsidR="00C83438" w:rsidRPr="007A4020" w:rsidRDefault="00C83438" w:rsidP="00C83438">
            <w:r w:rsidRPr="007A4020">
              <w:t>Core i7 14</w:t>
            </w:r>
            <w:r w:rsidRPr="007A4020">
              <w:rPr>
                <w:vertAlign w:val="superscript"/>
              </w:rPr>
              <w:t>th</w:t>
            </w:r>
            <w:r w:rsidRPr="007A4020">
              <w:t xml:space="preserve"> Gen or higher</w:t>
            </w:r>
          </w:p>
          <w:p w14:paraId="59EDBAC2" w14:textId="77777777" w:rsidR="00C83438" w:rsidRPr="007A4020" w:rsidRDefault="00C83438" w:rsidP="00C83438">
            <w:r w:rsidRPr="007A4020">
              <w:t>16 GB RAM DDR5</w:t>
            </w:r>
          </w:p>
          <w:p w14:paraId="1022855D" w14:textId="77777777" w:rsidR="00C83438" w:rsidRPr="007A4020" w:rsidRDefault="00C83438" w:rsidP="00C83438">
            <w:r w:rsidRPr="007A4020">
              <w:t xml:space="preserve">512 GB </w:t>
            </w:r>
            <w:proofErr w:type="spellStart"/>
            <w:r w:rsidRPr="007A4020">
              <w:t>NVMe</w:t>
            </w:r>
            <w:proofErr w:type="spellEnd"/>
            <w:r w:rsidRPr="007A4020">
              <w:t xml:space="preserve"> (GEN 4)</w:t>
            </w:r>
          </w:p>
          <w:p w14:paraId="1762EEF2" w14:textId="77777777" w:rsidR="00C83438" w:rsidRPr="007A4020" w:rsidRDefault="00C83438" w:rsidP="00C83438">
            <w:r w:rsidRPr="007A4020">
              <w:t>WIFI 6E, Bluetooth, Gigabit Ethernet</w:t>
            </w:r>
          </w:p>
          <w:p w14:paraId="49756932" w14:textId="77777777" w:rsidR="00C83438" w:rsidRPr="007A4020" w:rsidRDefault="00C83438" w:rsidP="00C83438">
            <w:r w:rsidRPr="007A4020">
              <w:t xml:space="preserve">USB-C, USB-A (GEN 1&amp;2), Display Port, HDMI, </w:t>
            </w:r>
          </w:p>
          <w:p w14:paraId="38516E3E" w14:textId="77777777" w:rsidR="00C83438" w:rsidRPr="007A4020" w:rsidRDefault="00C83438" w:rsidP="00C83438">
            <w:r w:rsidRPr="007A4020">
              <w:t>Windows 11 Pro (Genuine license) with 22-inch LED, FHD</w:t>
            </w:r>
          </w:p>
          <w:p w14:paraId="26FF1A84" w14:textId="77777777" w:rsidR="00C83438" w:rsidRPr="007A4020" w:rsidRDefault="00C83438" w:rsidP="00C83438">
            <w:r w:rsidRPr="007A4020">
              <w:t>USB Key Board and mouse</w:t>
            </w:r>
          </w:p>
          <w:p w14:paraId="234A1906" w14:textId="0A53F10C" w:rsidR="00F27CF8" w:rsidRPr="007A4020" w:rsidRDefault="00000000">
            <w:r w:rsidRPr="007A4020">
              <w:rPr>
                <w:rFonts w:ascii="Arial" w:eastAsia="Arial" w:hAnsi="Arial" w:cs="Arial"/>
                <w:b/>
                <w:bCs/>
              </w:rPr>
              <w:t xml:space="preserve">Warranty: 1-year on-site comprehensive warranty </w:t>
            </w:r>
          </w:p>
        </w:tc>
        <w:tc>
          <w:tcPr>
            <w:tcW w:w="144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6CAEC2CF" w14:textId="77777777" w:rsidR="00F27CF8" w:rsidRPr="007A4020" w:rsidRDefault="00000000">
            <w:pPr>
              <w:jc w:val="center"/>
            </w:pPr>
            <w:r w:rsidRPr="007A4020">
              <w:rPr>
                <w:rFonts w:ascii="Arial" w:eastAsia="Arial" w:hAnsi="Arial" w:cs="Arial"/>
              </w:rPr>
              <w:t>100</w:t>
            </w:r>
          </w:p>
        </w:tc>
      </w:tr>
    </w:tbl>
    <w:p w14:paraId="1942FB72" w14:textId="77777777" w:rsidR="00F27CF8" w:rsidRPr="007A4020" w:rsidRDefault="00F27CF8">
      <w:pPr>
        <w:spacing w:before="140" w:after="140"/>
      </w:pPr>
    </w:p>
    <w:p w14:paraId="39B50B4C" w14:textId="77777777" w:rsidR="00F27CF8" w:rsidRPr="007A4020" w:rsidRDefault="00000000">
      <w:pPr>
        <w:pBdr>
          <w:bottom w:val="single" w:sz="6" w:space="1" w:color="2C4770"/>
        </w:pBdr>
        <w:spacing w:before="100" w:after="60"/>
      </w:pPr>
      <w:r w:rsidRPr="007A4020">
        <w:rPr>
          <w:rFonts w:ascii="Arial" w:eastAsia="Arial" w:hAnsi="Arial" w:cs="Arial"/>
          <w:b/>
          <w:bCs/>
          <w:sz w:val="22"/>
          <w:szCs w:val="22"/>
        </w:rPr>
        <w:lastRenderedPageBreak/>
        <w:t>4.  KEY DATES (UNCHANGED)</w:t>
      </w:r>
    </w:p>
    <w:p w14:paraId="717F3600" w14:textId="77777777" w:rsidR="00F27CF8" w:rsidRPr="007A4020" w:rsidRDefault="00F27CF8">
      <w:pPr>
        <w:spacing w:before="60" w:after="60"/>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5125"/>
      </w:tblGrid>
      <w:tr w:rsidR="00F27CF8" w:rsidRPr="007A4020" w14:paraId="10095069"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847A492" w14:textId="77777777" w:rsidR="00F27CF8" w:rsidRPr="007A4020" w:rsidRDefault="00000000">
            <w:pPr>
              <w:jc w:val="center"/>
            </w:pPr>
            <w:r w:rsidRPr="007A4020">
              <w:rPr>
                <w:rFonts w:ascii="Arial" w:eastAsia="Arial" w:hAnsi="Arial" w:cs="Arial"/>
                <w:b/>
                <w:bCs/>
              </w:rPr>
              <w:t>Event</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2F815792" w14:textId="77777777" w:rsidR="00F27CF8" w:rsidRPr="007A4020" w:rsidRDefault="00000000">
            <w:pPr>
              <w:jc w:val="center"/>
            </w:pPr>
            <w:r w:rsidRPr="007A4020">
              <w:rPr>
                <w:rFonts w:ascii="Arial" w:eastAsia="Arial" w:hAnsi="Arial" w:cs="Arial"/>
                <w:b/>
                <w:bCs/>
              </w:rPr>
              <w:t>Date / Time</w:t>
            </w:r>
          </w:p>
        </w:tc>
      </w:tr>
      <w:tr w:rsidR="00F27CF8" w:rsidRPr="007A4020" w14:paraId="5523D231"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05E93DA" w14:textId="77777777" w:rsidR="00F27CF8" w:rsidRPr="007A4020" w:rsidRDefault="00000000">
            <w:r w:rsidRPr="007A4020">
              <w:rPr>
                <w:rFonts w:ascii="Arial" w:eastAsia="Arial" w:hAnsi="Arial" w:cs="Arial"/>
              </w:rPr>
              <w:t>RFB Issuance Date</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75AE584" w14:textId="77777777" w:rsidR="00F27CF8" w:rsidRPr="007A4020" w:rsidRDefault="00000000">
            <w:pPr>
              <w:jc w:val="center"/>
            </w:pPr>
            <w:r w:rsidRPr="007A4020">
              <w:rPr>
                <w:rFonts w:ascii="Arial" w:eastAsia="Arial" w:hAnsi="Arial" w:cs="Arial"/>
              </w:rPr>
              <w:t>April 25, 2026</w:t>
            </w:r>
          </w:p>
        </w:tc>
      </w:tr>
      <w:tr w:rsidR="00F27CF8" w:rsidRPr="007A4020" w14:paraId="237D6FF2"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A438874" w14:textId="77777777" w:rsidR="00F27CF8" w:rsidRPr="007A4020" w:rsidRDefault="00000000">
            <w:r w:rsidRPr="007A4020">
              <w:rPr>
                <w:rFonts w:ascii="Arial" w:eastAsia="Arial" w:hAnsi="Arial" w:cs="Arial"/>
              </w:rPr>
              <w:t>Pre-Bid Meeting</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6BD69E22" w14:textId="77777777" w:rsidR="00F27CF8" w:rsidRPr="007A4020" w:rsidRDefault="00000000">
            <w:pPr>
              <w:jc w:val="center"/>
            </w:pPr>
            <w:r w:rsidRPr="007A4020">
              <w:rPr>
                <w:rFonts w:ascii="Arial" w:eastAsia="Arial" w:hAnsi="Arial" w:cs="Arial"/>
              </w:rPr>
              <w:t>April 29, 2026 at 11:00 AM (PST)</w:t>
            </w:r>
          </w:p>
        </w:tc>
      </w:tr>
      <w:tr w:rsidR="00F27CF8" w:rsidRPr="007A4020" w14:paraId="06688CD7"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1E3C587B" w14:textId="77777777" w:rsidR="00F27CF8" w:rsidRPr="007A4020" w:rsidRDefault="00000000">
            <w:r w:rsidRPr="007A4020">
              <w:rPr>
                <w:rFonts w:ascii="Arial" w:eastAsia="Arial" w:hAnsi="Arial" w:cs="Arial"/>
              </w:rPr>
              <w:t>Addendum Issuance Date</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0C1B17B1" w14:textId="77777777" w:rsidR="00F27CF8" w:rsidRPr="007A4020" w:rsidRDefault="00000000">
            <w:pPr>
              <w:jc w:val="center"/>
            </w:pPr>
            <w:r w:rsidRPr="007A4020">
              <w:rPr>
                <w:rFonts w:ascii="Arial" w:eastAsia="Arial" w:hAnsi="Arial" w:cs="Arial"/>
              </w:rPr>
              <w:t>April 30, 2026</w:t>
            </w:r>
          </w:p>
        </w:tc>
      </w:tr>
      <w:tr w:rsidR="00F27CF8" w:rsidRPr="007A4020" w14:paraId="40DF6612"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73EFB5AC" w14:textId="77777777" w:rsidR="00F27CF8" w:rsidRPr="007A4020" w:rsidRDefault="00000000">
            <w:r w:rsidRPr="007A4020">
              <w:rPr>
                <w:rFonts w:ascii="Arial" w:eastAsia="Arial" w:hAnsi="Arial" w:cs="Arial"/>
                <w:b/>
                <w:bCs/>
              </w:rPr>
              <w:t>Bid Submission Deadline</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4E196FB6" w14:textId="77777777" w:rsidR="00F27CF8" w:rsidRPr="007A4020" w:rsidRDefault="00000000">
            <w:pPr>
              <w:jc w:val="center"/>
            </w:pPr>
            <w:r w:rsidRPr="007A4020">
              <w:rPr>
                <w:rFonts w:ascii="Arial" w:eastAsia="Arial" w:hAnsi="Arial" w:cs="Arial"/>
                <w:b/>
                <w:bCs/>
              </w:rPr>
              <w:t>May 20, 2026 (Before 2:30 PM PST)</w:t>
            </w:r>
          </w:p>
        </w:tc>
      </w:tr>
      <w:tr w:rsidR="00F27CF8" w:rsidRPr="007A4020" w14:paraId="3102FF83"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55B88EB" w14:textId="77777777" w:rsidR="00F27CF8" w:rsidRPr="007A4020" w:rsidRDefault="00000000">
            <w:r w:rsidRPr="007A4020">
              <w:rPr>
                <w:rFonts w:ascii="Arial" w:eastAsia="Arial" w:hAnsi="Arial" w:cs="Arial"/>
                <w:b/>
                <w:bCs/>
              </w:rPr>
              <w:t>Bid Opening Date &amp; Time</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3A08B0B" w14:textId="77777777" w:rsidR="00F27CF8" w:rsidRPr="007A4020" w:rsidRDefault="00000000">
            <w:pPr>
              <w:jc w:val="center"/>
            </w:pPr>
            <w:r w:rsidRPr="007A4020">
              <w:rPr>
                <w:rFonts w:ascii="Arial" w:eastAsia="Arial" w:hAnsi="Arial" w:cs="Arial"/>
                <w:b/>
                <w:bCs/>
              </w:rPr>
              <w:t>May 20, 2026 at 2:30 PM (PST)</w:t>
            </w:r>
          </w:p>
        </w:tc>
      </w:tr>
      <w:tr w:rsidR="00F27CF8" w:rsidRPr="007A4020" w14:paraId="5264379B"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5B110840" w14:textId="77777777" w:rsidR="00F27CF8" w:rsidRPr="007A4020" w:rsidRDefault="00000000">
            <w:r w:rsidRPr="007A4020">
              <w:rPr>
                <w:rFonts w:ascii="Arial" w:eastAsia="Arial" w:hAnsi="Arial" w:cs="Arial"/>
              </w:rPr>
              <w:t>Bid Validity Period</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377659EA" w14:textId="4ECE6E54" w:rsidR="00F27CF8" w:rsidRPr="007A4020" w:rsidRDefault="00C83438">
            <w:pPr>
              <w:jc w:val="center"/>
            </w:pPr>
            <w:r w:rsidRPr="007A4020">
              <w:rPr>
                <w:rFonts w:ascii="Arial" w:eastAsia="Arial" w:hAnsi="Arial" w:cs="Arial"/>
              </w:rPr>
              <w:t>30</w:t>
            </w:r>
            <w:r w:rsidR="00000000" w:rsidRPr="007A4020">
              <w:rPr>
                <w:rFonts w:ascii="Arial" w:eastAsia="Arial" w:hAnsi="Arial" w:cs="Arial"/>
              </w:rPr>
              <w:t xml:space="preserve"> calendar days from May 20, 2026</w:t>
            </w:r>
          </w:p>
        </w:tc>
      </w:tr>
      <w:tr w:rsidR="00F27CF8" w:rsidRPr="007A4020" w14:paraId="25148C89" w14:textId="77777777" w:rsidTr="007A4020">
        <w:tblPrEx>
          <w:tblCellMar>
            <w:top w:w="0" w:type="dxa"/>
            <w:bottom w:w="0" w:type="dxa"/>
          </w:tblCellMar>
        </w:tblPrEx>
        <w:tc>
          <w:tcPr>
            <w:tcW w:w="4680"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69B607BA" w14:textId="77777777" w:rsidR="00F27CF8" w:rsidRPr="007A4020" w:rsidRDefault="00000000">
            <w:r w:rsidRPr="007A4020">
              <w:rPr>
                <w:rFonts w:ascii="Arial" w:eastAsia="Arial" w:hAnsi="Arial" w:cs="Arial"/>
              </w:rPr>
              <w:t>Delivery Period</w:t>
            </w:r>
          </w:p>
        </w:tc>
        <w:tc>
          <w:tcPr>
            <w:tcW w:w="5125" w:type="dxa"/>
            <w:tcBorders>
              <w:top w:val="single" w:sz="4" w:space="0" w:color="2C4770"/>
              <w:left w:val="single" w:sz="4" w:space="0" w:color="2C4770"/>
              <w:bottom w:val="single" w:sz="4" w:space="0" w:color="2C4770"/>
              <w:right w:val="single" w:sz="4" w:space="0" w:color="2C4770"/>
            </w:tcBorders>
            <w:tcMar>
              <w:top w:w="100" w:type="dxa"/>
              <w:left w:w="120" w:type="dxa"/>
              <w:bottom w:w="100" w:type="dxa"/>
              <w:right w:w="120" w:type="dxa"/>
            </w:tcMar>
          </w:tcPr>
          <w:p w14:paraId="07536349" w14:textId="6087CFD9" w:rsidR="00F27CF8" w:rsidRPr="007A4020" w:rsidRDefault="00C83438">
            <w:pPr>
              <w:jc w:val="center"/>
            </w:pPr>
            <w:r w:rsidRPr="007A4020">
              <w:rPr>
                <w:rFonts w:ascii="Arial" w:eastAsia="Arial" w:hAnsi="Arial" w:cs="Arial"/>
              </w:rPr>
              <w:t>30</w:t>
            </w:r>
            <w:r w:rsidR="00000000" w:rsidRPr="007A4020">
              <w:rPr>
                <w:rFonts w:ascii="Arial" w:eastAsia="Arial" w:hAnsi="Arial" w:cs="Arial"/>
              </w:rPr>
              <w:t xml:space="preserve"> calendar days from </w:t>
            </w:r>
            <w:r w:rsidRPr="007A4020">
              <w:rPr>
                <w:rFonts w:ascii="Arial" w:eastAsia="Arial" w:hAnsi="Arial" w:cs="Arial"/>
              </w:rPr>
              <w:t>Acceptance</w:t>
            </w:r>
            <w:r w:rsidR="00000000" w:rsidRPr="007A4020">
              <w:rPr>
                <w:rFonts w:ascii="Arial" w:eastAsia="Arial" w:hAnsi="Arial" w:cs="Arial"/>
              </w:rPr>
              <w:t xml:space="preserve"> / Contract signing</w:t>
            </w:r>
          </w:p>
        </w:tc>
      </w:tr>
    </w:tbl>
    <w:p w14:paraId="259BAD31" w14:textId="77777777" w:rsidR="00F27CF8" w:rsidRPr="007A4020" w:rsidRDefault="00000000">
      <w:pPr>
        <w:pBdr>
          <w:bottom w:val="single" w:sz="6" w:space="1" w:color="2C4770"/>
        </w:pBdr>
        <w:spacing w:before="100" w:after="60"/>
      </w:pPr>
      <w:r w:rsidRPr="007A4020">
        <w:rPr>
          <w:rFonts w:ascii="Arial" w:eastAsia="Arial" w:hAnsi="Arial" w:cs="Arial"/>
          <w:b/>
          <w:bCs/>
          <w:sz w:val="22"/>
          <w:szCs w:val="22"/>
        </w:rPr>
        <w:t>5.  GENERAL CONDITIONS</w:t>
      </w:r>
    </w:p>
    <w:p w14:paraId="60500372" w14:textId="77777777" w:rsidR="00F27CF8" w:rsidRPr="007A4020" w:rsidRDefault="00F27CF8">
      <w:pPr>
        <w:spacing w:before="60" w:after="60"/>
      </w:pPr>
    </w:p>
    <w:p w14:paraId="78A113AA" w14:textId="77777777" w:rsidR="00F27CF8" w:rsidRPr="007A4020" w:rsidRDefault="00000000">
      <w:pPr>
        <w:spacing w:before="80" w:after="80"/>
        <w:jc w:val="both"/>
      </w:pPr>
      <w:proofErr w:type="gramStart"/>
      <w:r w:rsidRPr="007A4020">
        <w:rPr>
          <w:rFonts w:ascii="Arial" w:eastAsia="Arial" w:hAnsi="Arial" w:cs="Arial"/>
        </w:rPr>
        <w:t>5.1  This</w:t>
      </w:r>
      <w:proofErr w:type="gramEnd"/>
      <w:r w:rsidRPr="007A4020">
        <w:rPr>
          <w:rFonts w:ascii="Arial" w:eastAsia="Arial" w:hAnsi="Arial" w:cs="Arial"/>
        </w:rPr>
        <w:t xml:space="preserve"> Addendum No. 1 forms an integral part of the Bidding Documents and shall be read in conjunction with the original RFB. In case of any conflict, this Addendum shall prevail.</w:t>
      </w:r>
    </w:p>
    <w:p w14:paraId="567C4622" w14:textId="77777777" w:rsidR="00F27CF8" w:rsidRPr="007A4020" w:rsidRDefault="00F27CF8">
      <w:pPr>
        <w:spacing w:before="40" w:after="40"/>
      </w:pPr>
    </w:p>
    <w:p w14:paraId="789B7D69" w14:textId="77777777" w:rsidR="00F27CF8" w:rsidRPr="007A4020" w:rsidRDefault="00000000">
      <w:pPr>
        <w:spacing w:before="80" w:after="80"/>
        <w:jc w:val="both"/>
      </w:pPr>
      <w:proofErr w:type="gramStart"/>
      <w:r w:rsidRPr="007A4020">
        <w:rPr>
          <w:rFonts w:ascii="Arial" w:eastAsia="Arial" w:hAnsi="Arial" w:cs="Arial"/>
        </w:rPr>
        <w:t>5.2  All</w:t>
      </w:r>
      <w:proofErr w:type="gramEnd"/>
      <w:r w:rsidRPr="007A4020">
        <w:rPr>
          <w:rFonts w:ascii="Arial" w:eastAsia="Arial" w:hAnsi="Arial" w:cs="Arial"/>
        </w:rPr>
        <w:t xml:space="preserve"> other terms and conditions of the Bidding Documents that are not specifically amended herein remain unchanged.</w:t>
      </w:r>
    </w:p>
    <w:p w14:paraId="0027170A" w14:textId="77777777" w:rsidR="00F27CF8" w:rsidRPr="007A4020" w:rsidRDefault="00F27CF8">
      <w:pPr>
        <w:spacing w:before="40" w:after="40"/>
      </w:pPr>
    </w:p>
    <w:p w14:paraId="76AB91B4" w14:textId="77777777" w:rsidR="00F27CF8" w:rsidRPr="007A4020" w:rsidRDefault="00000000">
      <w:pPr>
        <w:spacing w:before="80" w:after="80"/>
        <w:jc w:val="both"/>
      </w:pPr>
      <w:proofErr w:type="gramStart"/>
      <w:r w:rsidRPr="007A4020">
        <w:rPr>
          <w:rFonts w:ascii="Arial" w:eastAsia="Arial" w:hAnsi="Arial" w:cs="Arial"/>
        </w:rPr>
        <w:t>5.3  Bidders</w:t>
      </w:r>
      <w:proofErr w:type="gramEnd"/>
      <w:r w:rsidRPr="007A4020">
        <w:rPr>
          <w:rFonts w:ascii="Arial" w:eastAsia="Arial" w:hAnsi="Arial" w:cs="Arial"/>
        </w:rPr>
        <w:t xml:space="preserve"> who have already obtained the Bidding Documents must take this Addendum into account in the preparation of their Bids.</w:t>
      </w:r>
    </w:p>
    <w:p w14:paraId="2F0193A4" w14:textId="77777777" w:rsidR="00F27CF8" w:rsidRPr="007A4020" w:rsidRDefault="00F27CF8">
      <w:pPr>
        <w:spacing w:before="40" w:after="40"/>
      </w:pPr>
    </w:p>
    <w:p w14:paraId="6A89B5FE" w14:textId="77777777" w:rsidR="00F27CF8" w:rsidRPr="007A4020" w:rsidRDefault="00000000">
      <w:pPr>
        <w:spacing w:before="80" w:after="80"/>
        <w:jc w:val="both"/>
      </w:pPr>
      <w:proofErr w:type="gramStart"/>
      <w:r w:rsidRPr="007A4020">
        <w:rPr>
          <w:rFonts w:ascii="Arial" w:eastAsia="Arial" w:hAnsi="Arial" w:cs="Arial"/>
        </w:rPr>
        <w:t>5.4  This</w:t>
      </w:r>
      <w:proofErr w:type="gramEnd"/>
      <w:r w:rsidRPr="007A4020">
        <w:rPr>
          <w:rFonts w:ascii="Arial" w:eastAsia="Arial" w:hAnsi="Arial" w:cs="Arial"/>
        </w:rPr>
        <w:t xml:space="preserve"> Addendum is issued in accordance with World Bank Procurement Regulations for IPF Borrowers and shall be published on the KP-SPEED website: www.kprmp.gov.pk.</w:t>
      </w:r>
    </w:p>
    <w:p w14:paraId="4017D30D" w14:textId="77777777" w:rsidR="00F27CF8" w:rsidRPr="007A4020" w:rsidRDefault="00F27CF8">
      <w:pPr>
        <w:spacing w:before="40" w:after="40"/>
      </w:pPr>
    </w:p>
    <w:p w14:paraId="6D086446" w14:textId="77777777" w:rsidR="00F27CF8" w:rsidRPr="007A4020" w:rsidRDefault="00000000">
      <w:pPr>
        <w:spacing w:before="80" w:after="80"/>
        <w:jc w:val="both"/>
      </w:pPr>
      <w:proofErr w:type="gramStart"/>
      <w:r w:rsidRPr="007A4020">
        <w:rPr>
          <w:rFonts w:ascii="Arial" w:eastAsia="Arial" w:hAnsi="Arial" w:cs="Arial"/>
        </w:rPr>
        <w:t>5.5  Bidders</w:t>
      </w:r>
      <w:proofErr w:type="gramEnd"/>
      <w:r w:rsidRPr="007A4020">
        <w:rPr>
          <w:rFonts w:ascii="Arial" w:eastAsia="Arial" w:hAnsi="Arial" w:cs="Arial"/>
        </w:rPr>
        <w:t xml:space="preserve"> requiring further clarification must submit written queries to the Procurement Specialist at proc.ssu@kprmp.gov.pk no later than May 10,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27CF8" w:rsidRPr="007A4020" w14:paraId="3A26C7C9"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100" w:type="dxa"/>
              <w:left w:w="120" w:type="dxa"/>
              <w:bottom w:w="100" w:type="dxa"/>
              <w:right w:w="120" w:type="dxa"/>
            </w:tcMar>
          </w:tcPr>
          <w:p w14:paraId="47F8B8AD" w14:textId="77777777" w:rsidR="007A4020" w:rsidRDefault="007A4020">
            <w:pPr>
              <w:spacing w:before="80" w:after="80"/>
              <w:rPr>
                <w:rFonts w:ascii="Arial" w:eastAsia="Arial" w:hAnsi="Arial" w:cs="Arial"/>
                <w:b/>
                <w:bCs/>
              </w:rPr>
            </w:pPr>
          </w:p>
          <w:p w14:paraId="571C3764" w14:textId="1E29E311" w:rsidR="00F27CF8" w:rsidRPr="007A4020" w:rsidRDefault="00C83438">
            <w:pPr>
              <w:spacing w:before="80" w:after="80"/>
            </w:pPr>
            <w:r w:rsidRPr="007A4020">
              <w:rPr>
                <w:rFonts w:ascii="Arial" w:eastAsia="Arial" w:hAnsi="Arial" w:cs="Arial"/>
                <w:b/>
                <w:bCs/>
              </w:rPr>
              <w:t>Prepared</w:t>
            </w:r>
            <w:r w:rsidR="00000000" w:rsidRPr="007A4020">
              <w:rPr>
                <w:rFonts w:ascii="Arial" w:eastAsia="Arial" w:hAnsi="Arial" w:cs="Arial"/>
                <w:b/>
                <w:bCs/>
              </w:rPr>
              <w:t xml:space="preserve"> by:</w:t>
            </w:r>
          </w:p>
          <w:p w14:paraId="7565F07A" w14:textId="187F62EA" w:rsidR="00F27CF8" w:rsidRPr="007A4020" w:rsidRDefault="00C83438">
            <w:pPr>
              <w:spacing w:before="80" w:after="80"/>
            </w:pPr>
            <w:r w:rsidRPr="007A4020">
              <w:rPr>
                <w:rFonts w:ascii="Arial" w:eastAsia="Arial" w:hAnsi="Arial" w:cs="Arial"/>
                <w:b/>
                <w:bCs/>
              </w:rPr>
              <w:t>Procurement Specialist</w:t>
            </w:r>
            <w:r w:rsidR="00000000" w:rsidRPr="007A4020">
              <w:rPr>
                <w:rFonts w:ascii="Arial" w:eastAsia="Arial" w:hAnsi="Arial" w:cs="Arial"/>
                <w:b/>
                <w:bCs/>
              </w:rPr>
              <w:t>, Shared Services Unit (SSU)</w:t>
            </w:r>
          </w:p>
          <w:p w14:paraId="2E5DF99E" w14:textId="6A025C62" w:rsidR="00F27CF8" w:rsidRPr="007A4020" w:rsidRDefault="00F27CF8">
            <w:pPr>
              <w:spacing w:before="80" w:after="80"/>
            </w:pPr>
          </w:p>
        </w:tc>
        <w:tc>
          <w:tcPr>
            <w:tcW w:w="4680" w:type="dxa"/>
            <w:tcBorders>
              <w:top w:val="none" w:sz="0" w:space="0" w:color="FFFFFF"/>
              <w:left w:val="none" w:sz="0" w:space="0" w:color="FFFFFF"/>
              <w:bottom w:val="none" w:sz="0" w:space="0" w:color="FFFFFF"/>
              <w:right w:val="none" w:sz="0" w:space="0" w:color="FFFFFF"/>
            </w:tcBorders>
            <w:tcMar>
              <w:top w:w="100" w:type="dxa"/>
              <w:left w:w="120" w:type="dxa"/>
              <w:bottom w:w="100" w:type="dxa"/>
              <w:right w:w="120" w:type="dxa"/>
            </w:tcMar>
          </w:tcPr>
          <w:p w14:paraId="382337F7" w14:textId="475AA5E0" w:rsidR="00F27CF8" w:rsidRPr="007A4020" w:rsidRDefault="00F27CF8">
            <w:pPr>
              <w:spacing w:before="80" w:after="80"/>
            </w:pPr>
          </w:p>
        </w:tc>
      </w:tr>
    </w:tbl>
    <w:p w14:paraId="7CCB47AD" w14:textId="77777777" w:rsidR="00F27CF8" w:rsidRPr="007A4020" w:rsidRDefault="00F27CF8">
      <w:pPr>
        <w:spacing w:before="120" w:after="120"/>
      </w:pPr>
    </w:p>
    <w:p w14:paraId="79B4491B" w14:textId="77777777" w:rsidR="00F27CF8" w:rsidRPr="007A4020" w:rsidRDefault="00000000">
      <w:pPr>
        <w:jc w:val="center"/>
      </w:pPr>
      <w:r w:rsidRPr="007A4020">
        <w:rPr>
          <w:rFonts w:ascii="Arial" w:eastAsia="Arial" w:hAnsi="Arial" w:cs="Arial"/>
          <w:sz w:val="18"/>
          <w:szCs w:val="18"/>
        </w:rPr>
        <w:t xml:space="preserve">KP-SPEED </w:t>
      </w:r>
      <w:proofErr w:type="gramStart"/>
      <w:r w:rsidRPr="007A4020">
        <w:rPr>
          <w:rFonts w:ascii="Arial" w:eastAsia="Arial" w:hAnsi="Arial" w:cs="Arial"/>
          <w:sz w:val="18"/>
          <w:szCs w:val="18"/>
        </w:rPr>
        <w:t>Project  |</w:t>
      </w:r>
      <w:proofErr w:type="gramEnd"/>
      <w:r w:rsidRPr="007A4020">
        <w:rPr>
          <w:rFonts w:ascii="Arial" w:eastAsia="Arial" w:hAnsi="Arial" w:cs="Arial"/>
          <w:sz w:val="18"/>
          <w:szCs w:val="18"/>
        </w:rPr>
        <w:t xml:space="preserve">  House No. 1, Street No. 7-A, </w:t>
      </w:r>
      <w:proofErr w:type="spellStart"/>
      <w:r w:rsidRPr="007A4020">
        <w:rPr>
          <w:rFonts w:ascii="Arial" w:eastAsia="Arial" w:hAnsi="Arial" w:cs="Arial"/>
          <w:sz w:val="18"/>
          <w:szCs w:val="18"/>
        </w:rPr>
        <w:t>Defence</w:t>
      </w:r>
      <w:proofErr w:type="spellEnd"/>
      <w:r w:rsidRPr="007A4020">
        <w:rPr>
          <w:rFonts w:ascii="Arial" w:eastAsia="Arial" w:hAnsi="Arial" w:cs="Arial"/>
          <w:sz w:val="18"/>
          <w:szCs w:val="18"/>
        </w:rPr>
        <w:t xml:space="preserve"> Colony, </w:t>
      </w:r>
      <w:proofErr w:type="spellStart"/>
      <w:r w:rsidRPr="007A4020">
        <w:rPr>
          <w:rFonts w:ascii="Arial" w:eastAsia="Arial" w:hAnsi="Arial" w:cs="Arial"/>
          <w:sz w:val="18"/>
          <w:szCs w:val="18"/>
        </w:rPr>
        <w:t>Qafla</w:t>
      </w:r>
      <w:proofErr w:type="spellEnd"/>
      <w:r w:rsidRPr="007A4020">
        <w:rPr>
          <w:rFonts w:ascii="Arial" w:eastAsia="Arial" w:hAnsi="Arial" w:cs="Arial"/>
          <w:sz w:val="18"/>
          <w:szCs w:val="18"/>
        </w:rPr>
        <w:t xml:space="preserve"> Road, Opposite Pakistan Baitul Mal, Peshawar</w:t>
      </w:r>
    </w:p>
    <w:p w14:paraId="14658B05" w14:textId="77777777" w:rsidR="00F27CF8" w:rsidRPr="007A4020" w:rsidRDefault="00000000">
      <w:pPr>
        <w:jc w:val="center"/>
      </w:pPr>
      <w:r w:rsidRPr="007A4020">
        <w:rPr>
          <w:rFonts w:ascii="Arial" w:eastAsia="Arial" w:hAnsi="Arial" w:cs="Arial"/>
          <w:sz w:val="18"/>
          <w:szCs w:val="18"/>
        </w:rPr>
        <w:t>Phone: +92-91 9213056-</w:t>
      </w:r>
      <w:proofErr w:type="gramStart"/>
      <w:r w:rsidRPr="007A4020">
        <w:rPr>
          <w:rFonts w:ascii="Arial" w:eastAsia="Arial" w:hAnsi="Arial" w:cs="Arial"/>
          <w:sz w:val="18"/>
          <w:szCs w:val="18"/>
        </w:rPr>
        <w:t>57  |</w:t>
      </w:r>
      <w:proofErr w:type="gramEnd"/>
      <w:r w:rsidRPr="007A4020">
        <w:rPr>
          <w:rFonts w:ascii="Arial" w:eastAsia="Arial" w:hAnsi="Arial" w:cs="Arial"/>
          <w:sz w:val="18"/>
          <w:szCs w:val="18"/>
        </w:rPr>
        <w:t xml:space="preserve">  Email: </w:t>
      </w:r>
      <w:proofErr w:type="gramStart"/>
      <w:r w:rsidRPr="007A4020">
        <w:rPr>
          <w:rFonts w:ascii="Arial" w:eastAsia="Arial" w:hAnsi="Arial" w:cs="Arial"/>
          <w:sz w:val="18"/>
          <w:szCs w:val="18"/>
        </w:rPr>
        <w:t>proc.ssu@kprmp.gov.pk  |</w:t>
      </w:r>
      <w:proofErr w:type="gramEnd"/>
      <w:r w:rsidRPr="007A4020">
        <w:rPr>
          <w:rFonts w:ascii="Arial" w:eastAsia="Arial" w:hAnsi="Arial" w:cs="Arial"/>
          <w:sz w:val="18"/>
          <w:szCs w:val="18"/>
        </w:rPr>
        <w:t xml:space="preserve">  Web: www.kprmp.gov.pk</w:t>
      </w:r>
    </w:p>
    <w:sectPr w:rsidR="00F27CF8" w:rsidRPr="007A4020">
      <w:pgSz w:w="11906" w:h="16838"/>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B5EA0"/>
    <w:multiLevelType w:val="hybridMultilevel"/>
    <w:tmpl w:val="B90474C4"/>
    <w:lvl w:ilvl="0" w:tplc="054688FE">
      <w:start w:val="1"/>
      <w:numFmt w:val="bullet"/>
      <w:lvlText w:val="●"/>
      <w:lvlJc w:val="left"/>
      <w:pPr>
        <w:ind w:left="720" w:hanging="360"/>
      </w:pPr>
    </w:lvl>
    <w:lvl w:ilvl="1" w:tplc="E2D80F8E">
      <w:start w:val="1"/>
      <w:numFmt w:val="bullet"/>
      <w:lvlText w:val="○"/>
      <w:lvlJc w:val="left"/>
      <w:pPr>
        <w:ind w:left="1440" w:hanging="360"/>
      </w:pPr>
    </w:lvl>
    <w:lvl w:ilvl="2" w:tplc="02D4D792">
      <w:start w:val="1"/>
      <w:numFmt w:val="bullet"/>
      <w:lvlText w:val="■"/>
      <w:lvlJc w:val="left"/>
      <w:pPr>
        <w:ind w:left="2160" w:hanging="360"/>
      </w:pPr>
    </w:lvl>
    <w:lvl w:ilvl="3" w:tplc="97E84CFE">
      <w:start w:val="1"/>
      <w:numFmt w:val="bullet"/>
      <w:lvlText w:val="●"/>
      <w:lvlJc w:val="left"/>
      <w:pPr>
        <w:ind w:left="2880" w:hanging="360"/>
      </w:pPr>
    </w:lvl>
    <w:lvl w:ilvl="4" w:tplc="3ACAD16C">
      <w:start w:val="1"/>
      <w:numFmt w:val="bullet"/>
      <w:lvlText w:val="○"/>
      <w:lvlJc w:val="left"/>
      <w:pPr>
        <w:ind w:left="3600" w:hanging="360"/>
      </w:pPr>
    </w:lvl>
    <w:lvl w:ilvl="5" w:tplc="951E179C">
      <w:start w:val="1"/>
      <w:numFmt w:val="bullet"/>
      <w:lvlText w:val="■"/>
      <w:lvlJc w:val="left"/>
      <w:pPr>
        <w:ind w:left="4320" w:hanging="360"/>
      </w:pPr>
    </w:lvl>
    <w:lvl w:ilvl="6" w:tplc="3AF416BA">
      <w:start w:val="1"/>
      <w:numFmt w:val="bullet"/>
      <w:lvlText w:val="●"/>
      <w:lvlJc w:val="left"/>
      <w:pPr>
        <w:ind w:left="5040" w:hanging="360"/>
      </w:pPr>
    </w:lvl>
    <w:lvl w:ilvl="7" w:tplc="22A8F50C">
      <w:start w:val="1"/>
      <w:numFmt w:val="bullet"/>
      <w:lvlText w:val="●"/>
      <w:lvlJc w:val="left"/>
      <w:pPr>
        <w:ind w:left="5760" w:hanging="360"/>
      </w:pPr>
    </w:lvl>
    <w:lvl w:ilvl="8" w:tplc="51C8F42A">
      <w:start w:val="1"/>
      <w:numFmt w:val="bullet"/>
      <w:lvlText w:val="●"/>
      <w:lvlJc w:val="left"/>
      <w:pPr>
        <w:ind w:left="6480" w:hanging="360"/>
      </w:pPr>
    </w:lvl>
  </w:abstractNum>
  <w:num w:numId="1" w16cid:durableId="361827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F8"/>
    <w:rsid w:val="002B5B63"/>
    <w:rsid w:val="007A4020"/>
    <w:rsid w:val="00C83438"/>
    <w:rsid w:val="00E9743B"/>
    <w:rsid w:val="00F2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E9D4"/>
  <w15:docId w15:val="{93E64528-A22F-4023-938F-0552011D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Shafi ur Rehman</cp:lastModifiedBy>
  <cp:revision>2</cp:revision>
  <dcterms:created xsi:type="dcterms:W3CDTF">2026-04-30T09:41:00Z</dcterms:created>
  <dcterms:modified xsi:type="dcterms:W3CDTF">2026-04-30T09:41:00Z</dcterms:modified>
</cp:coreProperties>
</file>